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D2D2D"/>
          <w:sz w:val="32"/>
        </w:rPr>
        <w:t>Austria Alphanumeric Sender ID Registration Form</w:t>
      </w:r>
    </w:p>
    <w:p>
      <w:pPr>
        <w:jc w:val="center"/>
      </w:pPr>
      <w:r>
        <w:rPr>
          <w:i/>
          <w:color w:val="666666"/>
          <w:sz w:val="20"/>
        </w:rPr>
        <w:t>Registering: Telnyx  |  Return to: alpha_sender_id@telnyx.com</w:t>
      </w:r>
    </w:p>
    <w:p/>
    <w:p>
      <w:r>
        <w:rPr>
          <w:b/>
          <w:sz w:val="24"/>
        </w:rPr>
        <w:t>1. Company / Customer Details</w:t>
      </w:r>
    </w:p>
    <w:p>
      <w:r>
        <w:rPr>
          <w:b/>
          <w:sz w:val="20"/>
        </w:rPr>
        <w:t xml:space="preserve">Customer or Company Name: </w:t>
      </w:r>
      <w:r>
        <w:rPr>
          <w:sz w:val="20"/>
        </w:rPr>
        <w:t>________________________________________________</w:t>
      </w:r>
    </w:p>
    <w:p>
      <w:r>
        <w:rPr>
          <w:b/>
          <w:sz w:val="20"/>
        </w:rPr>
        <w:t xml:space="preserve">Legal Entity Name: </w:t>
      </w:r>
      <w:r>
        <w:rPr>
          <w:sz w:val="20"/>
        </w:rPr>
        <w:t>________________________________________________</w:t>
      </w:r>
    </w:p>
    <w:p>
      <w:r>
        <w:rPr>
          <w:b/>
          <w:sz w:val="20"/>
        </w:rPr>
        <w:t xml:space="preserve">Company Address: </w:t>
      </w:r>
      <w:r>
        <w:rPr>
          <w:sz w:val="20"/>
        </w:rPr>
        <w:t>________________________________________________</w:t>
      </w:r>
    </w:p>
    <w:p>
      <w:r>
        <w:rPr>
          <w:b/>
          <w:sz w:val="20"/>
        </w:rPr>
        <w:t xml:space="preserve">Country Code (e.g. AT, DE, US): </w:t>
      </w:r>
      <w:r>
        <w:rPr>
          <w:sz w:val="20"/>
        </w:rPr>
        <w:t>________________________________________________</w:t>
      </w:r>
    </w:p>
    <w:p>
      <w:r>
        <w:rPr>
          <w:b/>
          <w:sz w:val="20"/>
        </w:rPr>
        <w:t xml:space="preserve">Contact Email: </w:t>
      </w:r>
      <w:r>
        <w:rPr>
          <w:sz w:val="20"/>
        </w:rPr>
        <w:t>________________________________________________</w:t>
      </w:r>
    </w:p>
    <w:p>
      <w:r>
        <w:rPr>
          <w:b/>
          <w:sz w:val="20"/>
        </w:rPr>
        <w:t xml:space="preserve">Telnyx Account Email: </w:t>
      </w:r>
      <w:r>
        <w:rPr>
          <w:sz w:val="20"/>
        </w:rPr>
        <w:t>________________________________________________</w:t>
      </w:r>
    </w:p>
    <w:p/>
    <w:p>
      <w:r>
        <w:rPr>
          <w:b/>
          <w:sz w:val="24"/>
        </w:rPr>
        <w:t>2. Sender ID Details</w:t>
      </w:r>
    </w:p>
    <w:p>
      <w:r>
        <w:rPr>
          <w:b/>
          <w:sz w:val="20"/>
        </w:rPr>
        <w:t xml:space="preserve">Sender ID (exact alphanumeric string): </w:t>
      </w:r>
      <w:r>
        <w:rPr>
          <w:sz w:val="20"/>
        </w:rPr>
        <w:t>________________________________________________</w:t>
      </w:r>
    </w:p>
    <w:p>
      <w:r>
        <w:rPr>
          <w:b/>
          <w:sz w:val="20"/>
        </w:rPr>
        <w:t>Reason / Justification for using this Sender ID (must be provided in German):</w:t>
      </w:r>
    </w:p>
    <w:p>
      <w:r>
        <w:rPr>
          <w:i/>
          <w:color w:val="666666"/>
          <w:sz w:val="18"/>
        </w:rPr>
        <w:t>This is a public field in the RTR directory. Describe the legitimate connection between the Sender ID and the owner (e.g. brand name, trademark, or service description).</w:t>
      </w:r>
    </w:p>
    <w:p>
      <w:pPr>
        <w:spacing w:after="80"/>
      </w:pPr>
      <w:r>
        <w:t>________________________________________________</w:t>
      </w:r>
    </w:p>
    <w:p>
      <w:pPr>
        <w:spacing w:after="80"/>
      </w:pPr>
      <w:r>
        <w:t>________________________________________________</w:t>
      </w:r>
    </w:p>
    <w:p>
      <w:pPr>
        <w:spacing w:after="80"/>
      </w:pPr>
      <w:r>
        <w:t>________________________________________________</w:t>
      </w:r>
    </w:p>
    <w:p>
      <w:r>
        <w:rPr>
          <w:b/>
          <w:sz w:val="20"/>
        </w:rPr>
        <w:t xml:space="preserve">Austria SMS Traffic Use Case (e.g. OTP, notifications, marketing): </w:t>
      </w:r>
      <w:r>
        <w:rPr>
          <w:sz w:val="20"/>
        </w:rPr>
        <w:t>________________________________________________</w:t>
      </w:r>
    </w:p>
    <w:p/>
    <w:p>
      <w:r>
        <w:rPr>
          <w:b/>
          <w:sz w:val="20"/>
        </w:rPr>
        <w:t>Confirmation:</w:t>
      </w:r>
    </w:p>
    <w:p>
      <w:pPr>
        <w:spacing w:after="120"/>
      </w:pPr>
      <w:r>
        <w:rPr>
          <w:sz w:val="20"/>
        </w:rPr>
        <w:t>[ ] I confirm that the Sender ID is connected to the company, brand, or service listed above.</w:t>
      </w:r>
    </w:p>
    <w:p>
      <w:pPr>
        <w:spacing w:after="120"/>
      </w:pPr>
      <w:r>
        <w:rPr>
          <w:sz w:val="20"/>
        </w:rPr>
        <w:t>[ ] I confirm that the Sender ID follows RTR format rules (1-11 characters, at least one letter, allowed characters only).</w:t>
      </w:r>
    </w:p>
    <w:p>
      <w:pPr>
        <w:spacing w:after="120"/>
      </w:pPr>
      <w:r>
        <w:rPr>
          <w:sz w:val="20"/>
        </w:rPr>
        <w:t>[ ] I confirm that all company and holder information provided is correct and up to date.</w:t>
      </w:r>
    </w:p>
    <w:p>
      <w:pPr>
        <w:spacing w:after="120"/>
      </w:pPr>
      <w:r>
        <w:rPr>
          <w:sz w:val="20"/>
        </w:rPr>
        <w:t>[ ] I confirm that a maximum of 40 alphanumeric Sender IDs per holder will not be exceeded.</w:t>
      </w:r>
    </w:p>
    <w:p/>
    <w:p>
      <w:r>
        <w:rPr>
          <w:b/>
          <w:sz w:val="24"/>
        </w:rPr>
        <w:t>3. Additional Sender IDs (if registering more than one)</w:t>
      </w:r>
    </w:p>
    <w:p>
      <w:r>
        <w:rPr>
          <w:sz w:val="20"/>
        </w:rPr>
        <w:t>List each additional Sender ID and its reason for use (in German) below:</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2412"/>
          </w:tcPr>
          <w:p>
            <w:r>
              <w:rPr>
                <w:b/>
                <w:sz w:val="18"/>
              </w:rPr>
              <w:t>#</w:t>
            </w:r>
          </w:p>
        </w:tc>
        <w:tc>
          <w:tcPr>
            <w:tcW w:type="dxa" w:w="2412"/>
          </w:tcPr>
          <w:p>
            <w:r>
              <w:rPr>
                <w:b/>
                <w:sz w:val="18"/>
              </w:rPr>
              <w:t>Sender ID</w:t>
            </w:r>
          </w:p>
        </w:tc>
        <w:tc>
          <w:tcPr>
            <w:tcW w:type="dxa" w:w="2412"/>
          </w:tcPr>
          <w:p>
            <w:r>
              <w:rPr>
                <w:b/>
                <w:sz w:val="18"/>
              </w:rPr>
              <w:t>Reason for Use (German)</w:t>
            </w:r>
          </w:p>
        </w:tc>
        <w:tc>
          <w:tcPr>
            <w:tcW w:type="dxa" w:w="2412"/>
          </w:tcPr>
          <w:p>
            <w:r>
              <w:rPr>
                <w:b/>
                <w:sz w:val="18"/>
              </w:rPr>
              <w:t>Use Case</w:t>
            </w:r>
          </w:p>
        </w:tc>
      </w:tr>
      <w:tr>
        <w:tc>
          <w:tcPr>
            <w:tcW w:type="dxa" w:w="2412"/>
          </w:tcPr>
          <w:p>
            <w:r>
              <w:rPr>
                <w:sz w:val="18"/>
              </w:rPr>
              <w:t>1</w:t>
            </w:r>
          </w:p>
        </w:tc>
        <w:tc>
          <w:tcPr>
            <w:tcW w:type="dxa" w:w="2412"/>
          </w:tcPr>
          <w:p/>
        </w:tc>
        <w:tc>
          <w:tcPr>
            <w:tcW w:type="dxa" w:w="2412"/>
          </w:tcPr>
          <w:p/>
        </w:tc>
        <w:tc>
          <w:tcPr>
            <w:tcW w:type="dxa" w:w="2412"/>
          </w:tcPr>
          <w:p/>
        </w:tc>
      </w:tr>
      <w:tr>
        <w:tc>
          <w:tcPr>
            <w:tcW w:type="dxa" w:w="2412"/>
          </w:tcPr>
          <w:p>
            <w:r>
              <w:rPr>
                <w:sz w:val="18"/>
              </w:rPr>
              <w:t>2</w:t>
            </w:r>
          </w:p>
        </w:tc>
        <w:tc>
          <w:tcPr>
            <w:tcW w:type="dxa" w:w="2412"/>
          </w:tcPr>
          <w:p/>
        </w:tc>
        <w:tc>
          <w:tcPr>
            <w:tcW w:type="dxa" w:w="2412"/>
          </w:tcPr>
          <w:p/>
        </w:tc>
        <w:tc>
          <w:tcPr>
            <w:tcW w:type="dxa" w:w="2412"/>
          </w:tcPr>
          <w:p/>
        </w:tc>
      </w:tr>
      <w:tr>
        <w:tc>
          <w:tcPr>
            <w:tcW w:type="dxa" w:w="2412"/>
          </w:tcPr>
          <w:p>
            <w:r>
              <w:rPr>
                <w:sz w:val="18"/>
              </w:rPr>
              <w:t>3</w:t>
            </w:r>
          </w:p>
        </w:tc>
        <w:tc>
          <w:tcPr>
            <w:tcW w:type="dxa" w:w="2412"/>
          </w:tcPr>
          <w:p/>
        </w:tc>
        <w:tc>
          <w:tcPr>
            <w:tcW w:type="dxa" w:w="2412"/>
          </w:tcPr>
          <w:p/>
        </w:tc>
        <w:tc>
          <w:tcPr>
            <w:tcW w:type="dxa" w:w="2412"/>
          </w:tcPr>
          <w:p/>
        </w:tc>
      </w:tr>
      <w:tr>
        <w:tc>
          <w:tcPr>
            <w:tcW w:type="dxa" w:w="2412"/>
          </w:tcPr>
          <w:p>
            <w:r>
              <w:rPr>
                <w:sz w:val="18"/>
              </w:rPr>
              <w:t>4</w:t>
            </w:r>
          </w:p>
        </w:tc>
        <w:tc>
          <w:tcPr>
            <w:tcW w:type="dxa" w:w="2412"/>
          </w:tcPr>
          <w:p/>
        </w:tc>
        <w:tc>
          <w:tcPr>
            <w:tcW w:type="dxa" w:w="2412"/>
          </w:tcPr>
          <w:p/>
        </w:tc>
        <w:tc>
          <w:tcPr>
            <w:tcW w:type="dxa" w:w="2412"/>
          </w:tcPr>
          <w:p/>
        </w:tc>
      </w:tr>
      <w:tr>
        <w:tc>
          <w:tcPr>
            <w:tcW w:type="dxa" w:w="2412"/>
          </w:tcPr>
          <w:p>
            <w:r>
              <w:rPr>
                <w:sz w:val="18"/>
              </w:rPr>
              <w:t>5</w:t>
            </w:r>
          </w:p>
        </w:tc>
        <w:tc>
          <w:tcPr>
            <w:tcW w:type="dxa" w:w="2412"/>
          </w:tcPr>
          <w:p/>
        </w:tc>
        <w:tc>
          <w:tcPr>
            <w:tcW w:type="dxa" w:w="2412"/>
          </w:tcPr>
          <w:p/>
        </w:tc>
        <w:tc>
          <w:tcPr>
            <w:tcW w:type="dxa" w:w="2412"/>
          </w:tcPr>
          <w:p/>
        </w:tc>
      </w:tr>
      <w:tr>
        <w:tc>
          <w:tcPr>
            <w:tcW w:type="dxa" w:w="2412"/>
          </w:tcPr>
          <w:p>
            <w:r>
              <w:rPr>
                <w:sz w:val="18"/>
              </w:rPr>
              <w:t>6</w:t>
            </w:r>
          </w:p>
        </w:tc>
        <w:tc>
          <w:tcPr>
            <w:tcW w:type="dxa" w:w="2412"/>
          </w:tcPr>
          <w:p/>
        </w:tc>
        <w:tc>
          <w:tcPr>
            <w:tcW w:type="dxa" w:w="2412"/>
          </w:tcPr>
          <w:p/>
        </w:tc>
        <w:tc>
          <w:tcPr>
            <w:tcW w:type="dxa" w:w="2412"/>
          </w:tcPr>
          <w:p/>
        </w:tc>
      </w:tr>
    </w:tbl>
    <w:p/>
    <w:p>
      <w:r>
        <w:rPr>
          <w:b/>
          <w:sz w:val="24"/>
        </w:rPr>
        <w:t>4. Reseller / Third-Party Authorisation</w:t>
      </w:r>
    </w:p>
    <w:p>
      <w:r>
        <w:rPr>
          <w:sz w:val="20"/>
        </w:rPr>
        <w:t>If the Sender ID belongs to a brand or entity other than your own (e.g. sending on behalf of a client), a signed Letter of Authorisation (LOA) from the Sender ID owner is required. The LOA must be on the owner’s letterhead, signed, and clearly reference the Sender ID string and the authorised party.</w:t>
      </w:r>
    </w:p>
    <w:p/>
    <w:p>
      <w:r>
        <w:rPr>
          <w:sz w:val="20"/>
        </w:rPr>
        <w:t>[ ] Not applicable — I am the Sender ID owner.</w:t>
      </w:r>
    </w:p>
    <w:p>
      <w:r>
        <w:rPr>
          <w:sz w:val="20"/>
        </w:rPr>
        <w:t>[ ] Applicable — a signed LOA from the Sender ID owner is attached.</w:t>
      </w:r>
    </w:p>
    <w:p/>
    <w:p>
      <w:r>
        <w:rPr>
          <w:b/>
          <w:sz w:val="24"/>
        </w:rPr>
        <w:t>5. Pre-Submission Checklist</w:t>
      </w:r>
    </w:p>
    <w:p>
      <w:pPr>
        <w:spacing w:after="120"/>
      </w:pPr>
      <w:r>
        <w:rPr>
          <w:sz w:val="20"/>
        </w:rPr>
        <w:t>[ ] All alphanumeric Sender IDs used for Austria traffic are listed</w:t>
      </w:r>
    </w:p>
    <w:p>
      <w:pPr>
        <w:spacing w:after="120"/>
      </w:pPr>
      <w:r>
        <w:rPr>
          <w:sz w:val="20"/>
        </w:rPr>
        <w:t>[ ] Each Sender ID follows the length and character rules (1-11 chars, at least one letter)</w:t>
      </w:r>
    </w:p>
    <w:p>
      <w:pPr>
        <w:spacing w:after="120"/>
      </w:pPr>
      <w:r>
        <w:rPr>
          <w:sz w:val="20"/>
        </w:rPr>
        <w:t>[ ] Each Sender ID clearly relates to the company, brand, or service</w:t>
      </w:r>
    </w:p>
    <w:p>
      <w:pPr>
        <w:spacing w:after="120"/>
      </w:pPr>
      <w:r>
        <w:rPr>
          <w:sz w:val="20"/>
        </w:rPr>
        <w:t>[ ] A short justification is provided for each Sender ID (in German)</w:t>
      </w:r>
    </w:p>
    <w:p>
      <w:pPr>
        <w:spacing w:after="120"/>
      </w:pPr>
      <w:r>
        <w:rPr>
          <w:sz w:val="20"/>
        </w:rPr>
        <w:t>[ ] All company and holder information is correct and up to date</w:t>
      </w:r>
    </w:p>
    <w:p>
      <w:pPr>
        <w:spacing w:after="120"/>
      </w:pPr>
      <w:r>
        <w:rPr>
          <w:sz w:val="20"/>
        </w:rPr>
        <w:t>[ ] LOA attached (if applicable)</w:t>
      </w:r>
    </w:p>
    <w:p/>
    <w:p>
      <w:r>
        <w:rPr>
          <w:i/>
          <w:color w:val="666666"/>
          <w:sz w:val="18"/>
        </w:rPr>
        <w:t>Return this completed form to alpha_sender_id@telnyx.com</w:t>
      </w:r>
    </w:p>
    <w:p>
      <w:r>
        <w:rPr>
          <w:i/>
          <w:color w:val="666666"/>
          <w:sz w:val="18"/>
        </w:rPr>
        <w:t>Telnyx will submit the Sender ID registration on your behalf to RTR.</w:t>
      </w:r>
    </w:p>
    <w:p>
      <w:r>
        <w:rPr>
          <w:i/>
          <w:color w:val="666666"/>
          <w:sz w:val="18"/>
        </w:rPr>
        <w:t>Registration deadline: 16 September 2026 (RTR requires 14 days for processing).</w:t>
      </w:r>
    </w:p>
    <w:p>
      <w:r>
        <w:rPr>
          <w:i/>
          <w:color w:val="666666"/>
          <w:sz w:val="18"/>
        </w:rPr>
        <w:t>Enforcement date: 1 October 2026 — unregistered Sender IDs will be blocked.</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